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47C0D" w14:textId="2B1431E6" w:rsidR="009D4D03" w:rsidRPr="00614DD8" w:rsidRDefault="009D4D03" w:rsidP="009D4D0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14DD8">
        <w:rPr>
          <w:rFonts w:ascii="Arial" w:eastAsia="SimSun" w:hAnsi="Arial" w:cs="Times New Roman"/>
          <w:b/>
          <w:bCs/>
          <w:sz w:val="24"/>
          <w:szCs w:val="20"/>
        </w:rPr>
        <w:t>3GPP T</w:t>
      </w:r>
      <w:bookmarkStart w:id="2" w:name="_Ref452454252"/>
      <w:bookmarkEnd w:id="2"/>
      <w:r w:rsidRPr="00614DD8">
        <w:rPr>
          <w:rFonts w:ascii="Arial" w:eastAsia="SimSun" w:hAnsi="Arial" w:cs="Times New Roman"/>
          <w:b/>
          <w:bCs/>
          <w:sz w:val="24"/>
          <w:szCs w:val="20"/>
        </w:rPr>
        <w:t xml:space="preserve">SG-RAN </w:t>
      </w:r>
      <w:r w:rsidRPr="00614DD8">
        <w:rPr>
          <w:rFonts w:ascii="Arial" w:eastAsia="SimSun" w:hAnsi="Arial" w:cs="Times New Roman"/>
          <w:b/>
          <w:sz w:val="24"/>
          <w:szCs w:val="20"/>
        </w:rPr>
        <w:t>WG4 Meeting #110bis</w:t>
      </w:r>
      <w:r w:rsidRPr="00614DD8">
        <w:rPr>
          <w:rFonts w:ascii="Arial" w:eastAsia="SimSun" w:hAnsi="Arial" w:cs="Times New Roman"/>
          <w:b/>
          <w:bCs/>
          <w:sz w:val="24"/>
          <w:szCs w:val="20"/>
        </w:rPr>
        <w:tab/>
      </w:r>
      <w:r w:rsidR="008F2744" w:rsidRPr="008F2744">
        <w:rPr>
          <w:rFonts w:ascii="Arial" w:eastAsia="SimSun" w:hAnsi="Arial" w:cs="Times New Roman"/>
          <w:b/>
          <w:bCs/>
          <w:sz w:val="24"/>
          <w:szCs w:val="20"/>
          <w:lang w:eastAsia="ja-JP"/>
        </w:rPr>
        <w:t>R4-2405744</w:t>
      </w:r>
    </w:p>
    <w:p w14:paraId="50D7AF6D" w14:textId="77777777" w:rsidR="009D4D03" w:rsidRPr="00614DD8" w:rsidRDefault="009D4D03" w:rsidP="009D4D0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14DD8">
        <w:rPr>
          <w:rFonts w:ascii="Arial" w:eastAsia="SimSun" w:hAnsi="Arial" w:cs="Times New Roman"/>
          <w:b/>
          <w:sz w:val="24"/>
          <w:szCs w:val="20"/>
        </w:rPr>
        <w:t>Changsha, China, April 15 – April 19, 2024</w:t>
      </w:r>
    </w:p>
    <w:bookmarkEnd w:id="0"/>
    <w:bookmarkEnd w:id="1"/>
    <w:p w14:paraId="3F39940B"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EF148DC"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2984D1C0" w14:textId="52C6EB4E" w:rsidR="00841BCD" w:rsidRPr="00381F95"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E57137">
        <w:rPr>
          <w:rFonts w:ascii="Arial" w:eastAsia="Calibri" w:hAnsi="Arial" w:cs="Arial"/>
          <w:b/>
          <w:bCs/>
          <w:sz w:val="24"/>
        </w:rPr>
        <w:t>Maintenance on Discontinuous Coverage</w:t>
      </w:r>
      <w:r w:rsidR="006C07F8">
        <w:rPr>
          <w:rFonts w:ascii="Arial" w:eastAsia="Calibri" w:hAnsi="Arial" w:cs="Arial"/>
          <w:b/>
          <w:bCs/>
          <w:sz w:val="24"/>
        </w:rPr>
        <w:t xml:space="preserve"> for NB-IoT/</w:t>
      </w:r>
      <w:proofErr w:type="spellStart"/>
      <w:r w:rsidR="006C07F8">
        <w:rPr>
          <w:rFonts w:ascii="Arial" w:eastAsia="Calibri" w:hAnsi="Arial" w:cs="Arial"/>
          <w:b/>
          <w:bCs/>
          <w:sz w:val="24"/>
        </w:rPr>
        <w:t>eMTC</w:t>
      </w:r>
      <w:proofErr w:type="spellEnd"/>
      <w:r w:rsidR="006C07F8">
        <w:rPr>
          <w:rFonts w:ascii="Arial" w:eastAsia="Calibri" w:hAnsi="Arial" w:cs="Arial"/>
          <w:b/>
          <w:bCs/>
          <w:sz w:val="24"/>
        </w:rPr>
        <w:t xml:space="preserve"> in NTN</w:t>
      </w:r>
    </w:p>
    <w:p w14:paraId="676F8492" w14:textId="492F1353" w:rsidR="00841BCD" w:rsidRPr="00381F95"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8F2744">
        <w:rPr>
          <w:rFonts w:ascii="Arial" w:eastAsia="MS Mincho" w:hAnsi="Arial" w:cs="Arial"/>
          <w:b/>
          <w:bCs/>
          <w:sz w:val="24"/>
          <w:szCs w:val="20"/>
        </w:rPr>
        <w:t>4</w:t>
      </w:r>
      <w:r w:rsidR="00E57137">
        <w:rPr>
          <w:rFonts w:ascii="Arial" w:eastAsia="MS Mincho" w:hAnsi="Arial" w:cs="Arial"/>
          <w:b/>
          <w:bCs/>
          <w:sz w:val="24"/>
          <w:szCs w:val="20"/>
        </w:rPr>
        <w:t>.2.2.3</w:t>
      </w:r>
    </w:p>
    <w:p w14:paraId="3C3DBC5E"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27702822" w14:textId="77777777" w:rsidR="00E323E9" w:rsidRPr="00381F95" w:rsidRDefault="00E323E9" w:rsidP="00841BCD">
      <w:pPr>
        <w:tabs>
          <w:tab w:val="left" w:pos="1985"/>
        </w:tabs>
        <w:rPr>
          <w:rFonts w:ascii="Arial" w:eastAsia="Calibri" w:hAnsi="Arial" w:cs="Arial"/>
          <w:b/>
          <w:bCs/>
          <w:sz w:val="24"/>
        </w:rPr>
      </w:pPr>
    </w:p>
    <w:p w14:paraId="14C06CDB" w14:textId="77777777"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7A245F14" w14:textId="2E052647" w:rsidR="00C35342" w:rsidRDefault="00C35342" w:rsidP="00C35342">
      <w:pPr>
        <w:jc w:val="both"/>
      </w:pPr>
      <w:r>
        <w:t xml:space="preserve">In Rel-17, support for NB-IoT and </w:t>
      </w:r>
      <w:proofErr w:type="spellStart"/>
      <w:r>
        <w:t>eMTC</w:t>
      </w:r>
      <w:proofErr w:type="spellEnd"/>
      <w:r>
        <w:t xml:space="preserve"> over NTN was studied in [1] and defined in RAN1, RAN2, and RAN3 under the Work Item described in [2]. RAN4 requirements will be defined in a release-independent manner in Rel-18. </w:t>
      </w:r>
    </w:p>
    <w:p w14:paraId="3409161D" w14:textId="6B49B1EC" w:rsidR="0060543D" w:rsidRDefault="00C35342" w:rsidP="00540380">
      <w:pPr>
        <w:jc w:val="both"/>
      </w:pPr>
      <w:r>
        <w:t>In this document, Nokia’s views regarding the following topics are presented regarding</w:t>
      </w:r>
      <w:r w:rsidR="008F2744">
        <w:t xml:space="preserve"> maintenance needed</w:t>
      </w:r>
      <w:r>
        <w:t xml:space="preserve"> </w:t>
      </w:r>
      <w:r w:rsidR="00540380">
        <w:t>discontinuous coverage enhancements.</w:t>
      </w:r>
    </w:p>
    <w:p w14:paraId="08D88B33" w14:textId="77777777" w:rsidR="00540380" w:rsidRPr="00381F95" w:rsidRDefault="00540380" w:rsidP="00540380">
      <w:pPr>
        <w:jc w:val="both"/>
      </w:pPr>
    </w:p>
    <w:p w14:paraId="5BA22D3A" w14:textId="35C9E14F" w:rsidR="003B659E" w:rsidRPr="00381F95" w:rsidRDefault="003B659E" w:rsidP="00AE56B1">
      <w:pPr>
        <w:pStyle w:val="RAN4H1"/>
      </w:pPr>
      <w:bookmarkStart w:id="4" w:name="_Toc116995842"/>
      <w:r w:rsidRPr="00381F95">
        <w:t>Discussion</w:t>
      </w:r>
      <w:bookmarkEnd w:id="4"/>
    </w:p>
    <w:p w14:paraId="77ADE9FA" w14:textId="269E52C1" w:rsidR="00CB22B2" w:rsidRPr="004654EA" w:rsidRDefault="00167386" w:rsidP="00496606">
      <w:pPr>
        <w:pStyle w:val="RAN4H2"/>
      </w:pPr>
      <w:r w:rsidRPr="004654EA">
        <w:t>Requirements on Discontinuous Coverage</w:t>
      </w:r>
    </w:p>
    <w:p w14:paraId="645E4948" w14:textId="4B14BC71" w:rsidR="00167386" w:rsidRPr="004654EA" w:rsidRDefault="00167386" w:rsidP="00167386">
      <w:r w:rsidRPr="004654EA">
        <w:t xml:space="preserve">The current specification is lacking some further definitions on the requirements that are applicable to the UE under discontinuous coverage. </w:t>
      </w:r>
      <w:r w:rsidR="002F567C">
        <w:t xml:space="preserve">There is a statement that repeats itself in several clauses, that is ambiguous and needs to be addressed. </w:t>
      </w:r>
      <w:r w:rsidRPr="004654EA">
        <w:t>In clause 4.7A.2, the following is specified:</w:t>
      </w:r>
    </w:p>
    <w:p w14:paraId="62A055B3" w14:textId="77777777" w:rsidR="00167386" w:rsidRDefault="00167386" w:rsidP="00167386">
      <w:pPr>
        <w:rPr>
          <w:highlight w:val="yellow"/>
        </w:rPr>
      </w:pPr>
    </w:p>
    <w:tbl>
      <w:tblPr>
        <w:tblStyle w:val="TableGrid"/>
        <w:tblW w:w="0" w:type="auto"/>
        <w:tblLook w:val="04A0" w:firstRow="1" w:lastRow="0" w:firstColumn="1" w:lastColumn="0" w:noHBand="0" w:noVBand="1"/>
      </w:tblPr>
      <w:tblGrid>
        <w:gridCol w:w="9617"/>
      </w:tblGrid>
      <w:tr w:rsidR="00167386" w14:paraId="210038A1" w14:textId="77777777" w:rsidTr="00167386">
        <w:tc>
          <w:tcPr>
            <w:tcW w:w="9617" w:type="dxa"/>
          </w:tcPr>
          <w:p w14:paraId="36F9121A" w14:textId="796838DF" w:rsidR="00167386" w:rsidRDefault="00167386" w:rsidP="00167386">
            <w:pPr>
              <w:rPr>
                <w:highlight w:val="yellow"/>
              </w:rPr>
            </w:pPr>
            <w:r>
              <w:rPr>
                <w:highlight w:val="yellow"/>
              </w:rPr>
              <w:t>TS 36.133 clause 4.7A.2</w:t>
            </w:r>
          </w:p>
          <w:p w14:paraId="676E7B08" w14:textId="77777777" w:rsidR="00167386" w:rsidRDefault="00167386" w:rsidP="00167386">
            <w:pPr>
              <w:rPr>
                <w:highlight w:val="yellow"/>
              </w:rPr>
            </w:pPr>
          </w:p>
          <w:p w14:paraId="67C8A38E" w14:textId="77777777" w:rsidR="00167386" w:rsidRDefault="00167386" w:rsidP="00167386">
            <w:pPr>
              <w:rPr>
                <w:rFonts w:eastAsia="SimSun"/>
                <w:i/>
                <w:iCs/>
              </w:rPr>
            </w:pPr>
            <w:r w:rsidRPr="00167386">
              <w:rPr>
                <w:rFonts w:eastAsia="SimSun"/>
                <w:i/>
                <w:iCs/>
                <w:highlight w:val="cyan"/>
              </w:rPr>
              <w:t>Editor’s note: FFS on how to capture following agreement:</w:t>
            </w:r>
          </w:p>
          <w:p w14:paraId="17377919" w14:textId="77777777" w:rsidR="00167386" w:rsidRDefault="00167386" w:rsidP="00167386">
            <w:pPr>
              <w:spacing w:after="120"/>
              <w:jc w:val="both"/>
            </w:pPr>
            <w:r w:rsidRPr="00167386">
              <w:rPr>
                <w:highlight w:val="cyan"/>
              </w:rPr>
              <w:t xml:space="preserve">When the UE is provided with </w:t>
            </w:r>
            <w:r w:rsidRPr="00167386">
              <w:rPr>
                <w:i/>
                <w:iCs/>
                <w:highlight w:val="cyan"/>
              </w:rPr>
              <w:t>t-serviceStart-r17</w:t>
            </w:r>
            <w:r w:rsidRPr="00167386">
              <w:rPr>
                <w:highlight w:val="cyan"/>
              </w:rPr>
              <w:t xml:space="preserve"> and has discontinuous coverage capabilities, then after t-service-r17 is reached and the UE is out of coverage, the UE may delay or resume cell measurements/search till when the UE is in coverage. Definition of in coverage is FFS.</w:t>
            </w:r>
          </w:p>
          <w:p w14:paraId="471C3A95" w14:textId="408119D4" w:rsidR="00167386" w:rsidRDefault="00167386" w:rsidP="00167386">
            <w:pPr>
              <w:rPr>
                <w:highlight w:val="yellow"/>
              </w:rPr>
            </w:pPr>
          </w:p>
        </w:tc>
      </w:tr>
    </w:tbl>
    <w:p w14:paraId="4C2CE86A" w14:textId="77777777" w:rsidR="00167386" w:rsidRDefault="00167386" w:rsidP="00167386">
      <w:pPr>
        <w:rPr>
          <w:highlight w:val="yellow"/>
        </w:rPr>
      </w:pPr>
    </w:p>
    <w:p w14:paraId="251A1139" w14:textId="69552410" w:rsidR="00B75578" w:rsidRDefault="00354F21" w:rsidP="00167386">
      <w:proofErr w:type="gramStart"/>
      <w:r w:rsidRPr="004654EA">
        <w:t>First of all</w:t>
      </w:r>
      <w:proofErr w:type="gramEnd"/>
      <w:r w:rsidRPr="004654EA">
        <w:t xml:space="preserve">, </w:t>
      </w:r>
      <w:r w:rsidR="002F567C">
        <w:t xml:space="preserve">the </w:t>
      </w:r>
      <w:r w:rsidR="00167386" w:rsidRPr="00673535">
        <w:t xml:space="preserve">exact wording and what entails the </w:t>
      </w:r>
      <w:r w:rsidR="00435F21" w:rsidRPr="00673535">
        <w:t>specification intent under the FFS have been matter of thorough discussion among companies for many meetings.</w:t>
      </w:r>
      <w:r w:rsidR="00B75578">
        <w:t xml:space="preserve"> One important observation is that the same sentence is not under FFS in the clauses for NB-IoT. </w:t>
      </w:r>
    </w:p>
    <w:p w14:paraId="358A29CE" w14:textId="2AB821E8" w:rsidR="00B75578" w:rsidRDefault="00B75578" w:rsidP="00167386">
      <w:r>
        <w:t xml:space="preserve">The sentence “UE may </w:t>
      </w:r>
      <w:r w:rsidRPr="00B75578">
        <w:rPr>
          <w:highlight w:val="cyan"/>
        </w:rPr>
        <w:t>delay or resume</w:t>
      </w:r>
      <w:r>
        <w:t xml:space="preserve"> cell </w:t>
      </w:r>
      <w:r w:rsidRPr="00B75578">
        <w:rPr>
          <w:highlight w:val="cyan"/>
        </w:rPr>
        <w:t>measurements/search</w:t>
      </w:r>
      <w:r>
        <w:t xml:space="preserve"> till when the UE is in coverage” is unclear. </w:t>
      </w:r>
    </w:p>
    <w:p w14:paraId="1FD4FC6F" w14:textId="366355A6" w:rsidR="002F567C" w:rsidRDefault="002F567C" w:rsidP="00167386">
      <w:r>
        <w:t xml:space="preserve">The sentence above </w:t>
      </w:r>
      <w:proofErr w:type="gramStart"/>
      <w:r>
        <w:t>provide</w:t>
      </w:r>
      <w:proofErr w:type="gramEnd"/>
      <w:r>
        <w:t xml:space="preserve"> several different combinations of possibilities for this UE:</w:t>
      </w:r>
    </w:p>
    <w:p w14:paraId="45C37C8D" w14:textId="13F4BD00" w:rsidR="002F567C" w:rsidRDefault="002F567C" w:rsidP="002F567C">
      <w:pPr>
        <w:pStyle w:val="ListParagraph"/>
        <w:numPr>
          <w:ilvl w:val="0"/>
          <w:numId w:val="31"/>
        </w:numPr>
      </w:pPr>
      <w:bookmarkStart w:id="5" w:name="_Ref163239762"/>
      <w:r>
        <w:t>The UE may delay measurements till when the UE is in coverage: it is rather clear what delaying measurements in this case mean. The UE will postpone any measurements while not in coverage. However, as the UE will camp in a different cell, instead of measurements, the most applicable term here would be “search” which is covered by the second possible combination of possibility.</w:t>
      </w:r>
      <w:bookmarkEnd w:id="5"/>
    </w:p>
    <w:p w14:paraId="4A3DFD6E" w14:textId="2A8388E7" w:rsidR="002F567C" w:rsidRDefault="002F567C" w:rsidP="002F567C">
      <w:pPr>
        <w:pStyle w:val="ListParagraph"/>
        <w:numPr>
          <w:ilvl w:val="0"/>
          <w:numId w:val="31"/>
        </w:numPr>
      </w:pPr>
      <w:r>
        <w:t xml:space="preserve">The UE may delay cell search till when the UE is in coverage: clear, and addresses the problem raised in </w:t>
      </w:r>
      <w:r>
        <w:fldChar w:fldCharType="begin"/>
      </w:r>
      <w:r>
        <w:instrText xml:space="preserve"> REF _Ref163239762 \r \h </w:instrText>
      </w:r>
      <w:r>
        <w:fldChar w:fldCharType="separate"/>
      </w:r>
      <w:r>
        <w:t>a)</w:t>
      </w:r>
      <w:r>
        <w:fldChar w:fldCharType="end"/>
      </w:r>
    </w:p>
    <w:p w14:paraId="3C97E06B" w14:textId="2F1BE43F" w:rsidR="002F567C" w:rsidRDefault="002F567C" w:rsidP="002F567C">
      <w:pPr>
        <w:pStyle w:val="ListParagraph"/>
        <w:numPr>
          <w:ilvl w:val="0"/>
          <w:numId w:val="31"/>
        </w:numPr>
      </w:pPr>
      <w:r>
        <w:t xml:space="preserve">The UE may resume cell measurements till when the UE is coverage: this sentence means that the UE will resume measurements (implying continuation of measurements) until the UE is no longer in coverage, which is exactly the opposite to what was intended for this case, where the UE is allowed to not perform measurements while not in coverage. </w:t>
      </w:r>
    </w:p>
    <w:p w14:paraId="207BCCFB" w14:textId="6FE89C89" w:rsidR="002F567C" w:rsidRDefault="002F567C" w:rsidP="002F567C">
      <w:pPr>
        <w:pStyle w:val="ListParagraph"/>
        <w:numPr>
          <w:ilvl w:val="0"/>
          <w:numId w:val="31"/>
        </w:numPr>
      </w:pPr>
      <w:r>
        <w:lastRenderedPageBreak/>
        <w:t>The UE may resume cell search till when the UE is coverage: same as above, the UE shouldn’t perform cell search while not in coverage.</w:t>
      </w:r>
    </w:p>
    <w:p w14:paraId="2F5037A5" w14:textId="2BDFBF46" w:rsidR="00B75578" w:rsidRDefault="00B75578" w:rsidP="00B75578">
      <w:r>
        <w:t xml:space="preserve">This sentence needs to be modified to be </w:t>
      </w:r>
      <w:proofErr w:type="gramStart"/>
      <w:r>
        <w:t>more clear</w:t>
      </w:r>
      <w:proofErr w:type="gramEnd"/>
      <w:r>
        <w:t xml:space="preserve">. </w:t>
      </w:r>
      <w:r w:rsidR="00D01B83">
        <w:t xml:space="preserve">Besides the meaning “UE is not required to perform measurements” has been already agreed on the clause above. </w:t>
      </w:r>
    </w:p>
    <w:p w14:paraId="31D0B9FC" w14:textId="2717ADEC" w:rsidR="002D6BEB" w:rsidRPr="002D6BEB" w:rsidRDefault="002D6BEB" w:rsidP="00B75578">
      <w:pPr>
        <w:pStyle w:val="RAN4proposal"/>
        <w:rPr>
          <w:color w:val="FF0000"/>
        </w:rPr>
      </w:pPr>
      <w:bookmarkStart w:id="6" w:name="_Toc163239959"/>
      <w:r w:rsidRPr="004654EA">
        <w:t xml:space="preserve">In TS 36.133, </w:t>
      </w:r>
      <w:r w:rsidR="00D01B83">
        <w:t xml:space="preserve"> remove </w:t>
      </w:r>
      <w:r w:rsidRPr="004654EA">
        <w:t xml:space="preserve">phrase: </w:t>
      </w:r>
      <w:r>
        <w:t>“</w:t>
      </w:r>
      <w:bookmarkEnd w:id="6"/>
      <w:r w:rsidR="00D01B83" w:rsidRPr="00D01B83">
        <w:t>When the UE is provided with t-serviceStart-r17 and has discontinuous coverage capabilities, then after t-service-r17 is reached and the UE is out of coverage, the UE may delay or resume cell measurements/search till when the UE is in coverage.</w:t>
      </w:r>
      <w:r w:rsidR="00D01B83">
        <w:t>”</w:t>
      </w:r>
    </w:p>
    <w:p w14:paraId="7DF42403" w14:textId="10B4FA02" w:rsidR="00167386" w:rsidRPr="00673535" w:rsidRDefault="002D6BEB" w:rsidP="00167386">
      <w:r>
        <w:t>The other part is related to the ongoing discussion about the definition of “in-coverage” for the continuation of the measurements. N</w:t>
      </w:r>
      <w:r w:rsidR="00435F21" w:rsidRPr="00673535">
        <w:t xml:space="preserve">o consensus </w:t>
      </w:r>
      <w:r>
        <w:t>has been reached yet</w:t>
      </w:r>
      <w:r w:rsidR="00435F21" w:rsidRPr="00673535">
        <w:t xml:space="preserve">. But, even in the absence of a current agreement, the FFS in the specification shall be addressed, as this cannot remain open as an editor note in the final version of the spec. </w:t>
      </w:r>
    </w:p>
    <w:p w14:paraId="43752490" w14:textId="79E8C512" w:rsidR="00435F21" w:rsidRPr="00673535" w:rsidRDefault="002D6BEB" w:rsidP="00167386">
      <w:r>
        <w:t>There</w:t>
      </w:r>
      <w:r w:rsidR="00435F21" w:rsidRPr="00673535">
        <w:t xml:space="preserve"> are two main opposing views:</w:t>
      </w:r>
    </w:p>
    <w:p w14:paraId="18670125" w14:textId="2915319C" w:rsidR="00435F21" w:rsidRPr="00673535" w:rsidRDefault="00435F21" w:rsidP="00435F21">
      <w:pPr>
        <w:pStyle w:val="ListParagraph"/>
        <w:numPr>
          <w:ilvl w:val="0"/>
          <w:numId w:val="30"/>
        </w:numPr>
      </w:pPr>
      <w:r w:rsidRPr="00673535">
        <w:t>The UE is expected to be in coverage when, based on received parameters from SIB32, the UE is within the estimated coverage area. OR</w:t>
      </w:r>
    </w:p>
    <w:p w14:paraId="4DF53B6A" w14:textId="69A3A48F" w:rsidR="00435F21" w:rsidRPr="00673535" w:rsidRDefault="00435F21" w:rsidP="00435F21">
      <w:pPr>
        <w:pStyle w:val="ListParagraph"/>
        <w:numPr>
          <w:ilvl w:val="0"/>
          <w:numId w:val="30"/>
        </w:numPr>
      </w:pPr>
      <w:r w:rsidRPr="00673535">
        <w:t>The UE is in coverage after the UE has already started to performing measurements and found a suitable cell.</w:t>
      </w:r>
    </w:p>
    <w:p w14:paraId="30D17FD5" w14:textId="77777777" w:rsidR="00435F21" w:rsidRPr="00673535" w:rsidRDefault="00435F21" w:rsidP="00435F21"/>
    <w:p w14:paraId="48FECF88" w14:textId="649B0409" w:rsidR="00435F21" w:rsidRDefault="00321890" w:rsidP="00435F21">
      <w:r w:rsidRPr="00321890">
        <w:t xml:space="preserve">We think that the complicating factor in this discussion is the “in-coverage” definition. The “in-coverage” implies that the UE is within radio coverage range, which can only be determined after the UE has already starting the measurements. Consequently, this leads to a conundrum: saying that the UE needs to restart measurements after in-coverage, means that the UE needs to measure first, until it determines it is in coverage, for then to be required to be measured. </w:t>
      </w:r>
    </w:p>
    <w:p w14:paraId="36A9AB21" w14:textId="7115A460" w:rsidR="00321890" w:rsidRPr="00321890" w:rsidRDefault="00321890" w:rsidP="00435F21">
      <w:r>
        <w:t>To avoid this, from RAN4 point of view, we can simplify the requirements:</w:t>
      </w:r>
    </w:p>
    <w:p w14:paraId="65F608D7" w14:textId="1B051FBD" w:rsidR="0089210C" w:rsidRDefault="00673535" w:rsidP="005C23A4">
      <w:proofErr w:type="gramStart"/>
      <w:r>
        <w:t>In order to</w:t>
      </w:r>
      <w:proofErr w:type="gramEnd"/>
      <w:r>
        <w:t xml:space="preserve"> remove the FFS from the specification text, we propose to maintain the generic description</w:t>
      </w:r>
      <w:r w:rsidR="00321890">
        <w:t xml:space="preserve"> but in line with RAN4 intention:</w:t>
      </w:r>
    </w:p>
    <w:p w14:paraId="3781ACC4" w14:textId="5672C9E6" w:rsidR="00673535" w:rsidRDefault="00321890" w:rsidP="00673535">
      <w:pPr>
        <w:pStyle w:val="RAN4proposal"/>
        <w:rPr>
          <w:color w:val="FF0000"/>
        </w:rPr>
      </w:pPr>
      <w:bookmarkStart w:id="7" w:name="_Toc163239960"/>
      <w:r w:rsidRPr="004654EA">
        <w:t xml:space="preserve">In TS 36.133, </w:t>
      </w:r>
      <w:r w:rsidR="002D6BEB">
        <w:t xml:space="preserve">do not </w:t>
      </w:r>
      <w:proofErr w:type="spellStart"/>
      <w:r w:rsidR="008D4E99">
        <w:t>not</w:t>
      </w:r>
      <w:proofErr w:type="spellEnd"/>
      <w:r w:rsidR="008D4E99">
        <w:t xml:space="preserve"> define</w:t>
      </w:r>
      <w:r w:rsidR="002D6BEB">
        <w:t xml:space="preserve"> “in-coverage” status.</w:t>
      </w:r>
      <w:bookmarkEnd w:id="7"/>
      <w:r w:rsidR="002D6BEB">
        <w:t xml:space="preserve"> </w:t>
      </w:r>
    </w:p>
    <w:p w14:paraId="5B60BC8F" w14:textId="77777777" w:rsidR="00321890" w:rsidRPr="00321890" w:rsidRDefault="00321890" w:rsidP="00321890"/>
    <w:p w14:paraId="2A5A2479" w14:textId="77777777" w:rsidR="00673535" w:rsidRDefault="00673535" w:rsidP="005C23A4"/>
    <w:p w14:paraId="29414634" w14:textId="77777777" w:rsidR="00CD7492" w:rsidRPr="00381F95" w:rsidRDefault="00CD7492" w:rsidP="00A37002">
      <w:pPr>
        <w:pStyle w:val="RAN4H1"/>
      </w:pPr>
      <w:bookmarkStart w:id="8" w:name="_Toc116995848"/>
      <w:r w:rsidRPr="00381F95">
        <w:t>Conclusion</w:t>
      </w:r>
      <w:bookmarkEnd w:id="8"/>
    </w:p>
    <w:p w14:paraId="3D5ED0C8" w14:textId="483858EB" w:rsidR="00381F95" w:rsidRPr="00381F95" w:rsidRDefault="00837166" w:rsidP="00936159">
      <w:r>
        <w:t xml:space="preserve">In this paper we discussed maintenance aspects related to the discontinuous coverage specification. </w:t>
      </w:r>
      <w:r w:rsidR="00381F95" w:rsidRPr="00381F95">
        <w:t>T</w:t>
      </w:r>
      <w:r w:rsidR="005B4801" w:rsidRPr="00381F95">
        <w:t xml:space="preserve">he following </w:t>
      </w:r>
      <w:r w:rsidR="008F2744">
        <w:t>proposals</w:t>
      </w:r>
      <w:r w:rsidR="005B4801" w:rsidRPr="00381F95">
        <w:t xml:space="preserve"> were made:</w:t>
      </w:r>
    </w:p>
    <w:bookmarkStart w:id="9" w:name="_Toc116995849"/>
    <w:p w14:paraId="6DB85557" w14:textId="478F2560" w:rsidR="002F567C" w:rsidRDefault="00673535">
      <w:pPr>
        <w:pStyle w:val="TOC1"/>
        <w:rPr>
          <w:rFonts w:asciiTheme="minorHAnsi" w:eastAsiaTheme="minorEastAsia" w:hAnsiTheme="minorHAnsi"/>
          <w:b w:val="0"/>
          <w:iCs w:val="0"/>
          <w:kern w:val="2"/>
          <w:sz w:val="22"/>
          <w:lang w:val="en-GB" w:eastAsia="en-GB"/>
          <w14:ligatures w14:val="standardContextual"/>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63239959" w:history="1">
        <w:r w:rsidR="002F567C" w:rsidRPr="00FF23A4">
          <w:rPr>
            <w:rStyle w:val="Hyperlink"/>
          </w:rPr>
          <w:t xml:space="preserve">Proposal 1: In TS 36.133, rephrase: “When the UE is provided with </w:t>
        </w:r>
        <w:r w:rsidR="002F567C" w:rsidRPr="00FF23A4">
          <w:rPr>
            <w:rStyle w:val="Hyperlink"/>
            <w:i/>
          </w:rPr>
          <w:t>t-serviceStart-r17</w:t>
        </w:r>
        <w:r w:rsidR="002F567C" w:rsidRPr="00FF23A4">
          <w:rPr>
            <w:rStyle w:val="Hyperlink"/>
          </w:rPr>
          <w:t xml:space="preserve"> and has discontinuous coverage capabilities, then after t-service-r17 is reached and the UE is out of coverage, the UE may not perform idle mode measurements until </w:t>
        </w:r>
        <w:r w:rsidR="002F567C" w:rsidRPr="00FF23A4">
          <w:rPr>
            <w:rStyle w:val="Hyperlink"/>
            <w:i/>
          </w:rPr>
          <w:t xml:space="preserve">t-serviceStart-r17 </w:t>
        </w:r>
        <w:r w:rsidR="002F567C" w:rsidRPr="00FF23A4">
          <w:rPr>
            <w:rStyle w:val="Hyperlink"/>
          </w:rPr>
          <w:t>is reached.”</w:t>
        </w:r>
      </w:hyperlink>
    </w:p>
    <w:p w14:paraId="53AEE69C" w14:textId="7895CC8B" w:rsidR="002F567C" w:rsidRDefault="0026202E">
      <w:pPr>
        <w:pStyle w:val="TOC1"/>
        <w:rPr>
          <w:rFonts w:asciiTheme="minorHAnsi" w:eastAsiaTheme="minorEastAsia" w:hAnsiTheme="minorHAnsi"/>
          <w:b w:val="0"/>
          <w:iCs w:val="0"/>
          <w:kern w:val="2"/>
          <w:sz w:val="22"/>
          <w:lang w:val="en-GB" w:eastAsia="en-GB"/>
          <w14:ligatures w14:val="standardContextual"/>
        </w:rPr>
      </w:pPr>
      <w:hyperlink w:anchor="_Toc163239960" w:history="1">
        <w:r w:rsidR="002F567C" w:rsidRPr="00FF23A4">
          <w:rPr>
            <w:rStyle w:val="Hyperlink"/>
          </w:rPr>
          <w:t>Proposal 2: In TS 36.133, do not not define “in-coverage” status.</w:t>
        </w:r>
      </w:hyperlink>
    </w:p>
    <w:p w14:paraId="4925ED03" w14:textId="77D1E02F" w:rsidR="00847264" w:rsidRPr="00381F95" w:rsidRDefault="00673535" w:rsidP="008C39F7">
      <w:r>
        <w:rPr>
          <w:i/>
          <w:iCs/>
          <w:u w:val="single"/>
        </w:rPr>
        <w:fldChar w:fldCharType="end"/>
      </w:r>
    </w:p>
    <w:p w14:paraId="4F026AF3" w14:textId="77777777" w:rsidR="003B659E" w:rsidRPr="00381F95" w:rsidRDefault="003B659E" w:rsidP="0060543D">
      <w:pPr>
        <w:pStyle w:val="RAN4H1"/>
        <w:numPr>
          <w:ilvl w:val="0"/>
          <w:numId w:val="0"/>
        </w:numPr>
        <w:ind w:left="360" w:hanging="360"/>
      </w:pPr>
      <w:r w:rsidRPr="00381F95">
        <w:t>References</w:t>
      </w:r>
      <w:bookmarkEnd w:id="9"/>
    </w:p>
    <w:p w14:paraId="464AF85C" w14:textId="77777777" w:rsidR="00540380" w:rsidRDefault="00540380" w:rsidP="00540380">
      <w:pPr>
        <w:pStyle w:val="ListParagraph"/>
        <w:numPr>
          <w:ilvl w:val="0"/>
          <w:numId w:val="27"/>
        </w:numPr>
        <w:ind w:right="-22"/>
      </w:pPr>
      <w:bookmarkStart w:id="10" w:name="_Ref114500673"/>
      <w:bookmarkStart w:id="11" w:name="_Ref115097759"/>
      <w:bookmarkStart w:id="12" w:name="_Ref115097774"/>
      <w:bookmarkEnd w:id="10"/>
      <w:r>
        <w:t>TR 36.763, “Study on Narrow-Band Internet of Things (NB-IoT) / enhanced Machine Type Communication (</w:t>
      </w:r>
      <w:proofErr w:type="spellStart"/>
      <w:r>
        <w:t>eMTC</w:t>
      </w:r>
      <w:proofErr w:type="spellEnd"/>
      <w:r>
        <w:t>) support for Non-Terrestrial Networks (NTN)”</w:t>
      </w:r>
      <w:bookmarkEnd w:id="11"/>
      <w:r>
        <w:t xml:space="preserve">  </w:t>
      </w:r>
    </w:p>
    <w:p w14:paraId="4526A9E1" w14:textId="77777777" w:rsidR="00540380" w:rsidRDefault="00540380" w:rsidP="00540380">
      <w:pPr>
        <w:pStyle w:val="ListParagraph"/>
        <w:numPr>
          <w:ilvl w:val="0"/>
          <w:numId w:val="27"/>
        </w:numPr>
        <w:ind w:right="-22"/>
      </w:pPr>
      <w:bookmarkStart w:id="13" w:name="_Ref115097767"/>
      <w:r>
        <w:t>RP-211601 – NB-IoT/</w:t>
      </w:r>
      <w:proofErr w:type="spellStart"/>
      <w:r>
        <w:t>eMTC</w:t>
      </w:r>
      <w:proofErr w:type="spellEnd"/>
      <w:r>
        <w:t xml:space="preserve"> support for Non-Terrestrial Networks</w:t>
      </w:r>
      <w:bookmarkEnd w:id="13"/>
      <w:r>
        <w:t xml:space="preserve"> </w:t>
      </w:r>
    </w:p>
    <w:p w14:paraId="4FAB14D8" w14:textId="77777777" w:rsidR="00540380" w:rsidRDefault="00540380" w:rsidP="00540380">
      <w:pPr>
        <w:pStyle w:val="ListParagraph"/>
        <w:numPr>
          <w:ilvl w:val="0"/>
          <w:numId w:val="27"/>
        </w:numPr>
        <w:spacing w:after="0" w:line="256" w:lineRule="auto"/>
        <w:ind w:right="-22"/>
      </w:pPr>
      <w:bookmarkStart w:id="14" w:name="_Ref118189778"/>
      <w:bookmarkStart w:id="15" w:name="_Ref127447438"/>
      <w:bookmarkStart w:id="16" w:name="_Ref134610562"/>
      <w:bookmarkStart w:id="17" w:name="_Ref149658587"/>
      <w:bookmarkEnd w:id="12"/>
      <w:r w:rsidRPr="00307760">
        <w:t>R4-2310098</w:t>
      </w:r>
      <w:r>
        <w:t xml:space="preserve">, </w:t>
      </w:r>
      <w:r w:rsidRPr="00FA0CED">
        <w:rPr>
          <w:i/>
          <w:iCs/>
        </w:rPr>
        <w:t>WF on NB-IoT/</w:t>
      </w:r>
      <w:proofErr w:type="spellStart"/>
      <w:r w:rsidRPr="00FA0CED">
        <w:rPr>
          <w:i/>
          <w:iCs/>
        </w:rPr>
        <w:t>eMTC</w:t>
      </w:r>
      <w:proofErr w:type="spellEnd"/>
      <w:r w:rsidRPr="00FA0CED">
        <w:rPr>
          <w:i/>
          <w:iCs/>
        </w:rPr>
        <w:t xml:space="preserve"> NTN core &amp; perf. RRM requirements maintenance</w:t>
      </w:r>
      <w:r>
        <w:t xml:space="preserve">, </w:t>
      </w:r>
      <w:bookmarkEnd w:id="14"/>
      <w:proofErr w:type="spellStart"/>
      <w:r>
        <w:t>Mediatek</w:t>
      </w:r>
      <w:proofErr w:type="spellEnd"/>
      <w:r>
        <w:t xml:space="preserve">, RAN WG4 #108, </w:t>
      </w:r>
      <w:bookmarkEnd w:id="15"/>
      <w:bookmarkEnd w:id="16"/>
      <w:proofErr w:type="gramStart"/>
      <w:r>
        <w:t>Toulouse</w:t>
      </w:r>
      <w:bookmarkEnd w:id="17"/>
      <w:proofErr w:type="gramEnd"/>
    </w:p>
    <w:p w14:paraId="6DF69D12" w14:textId="77777777" w:rsidR="00E43BF9" w:rsidRPr="00381F95" w:rsidRDefault="00E43BF9" w:rsidP="00E43BF9">
      <w:pPr>
        <w:ind w:right="-22"/>
      </w:pPr>
    </w:p>
    <w:p w14:paraId="737E6101" w14:textId="77777777" w:rsidR="00E43BF9" w:rsidRPr="00A62F30" w:rsidRDefault="00E43BF9" w:rsidP="00E43BF9">
      <w:pPr>
        <w:ind w:right="-22"/>
      </w:pPr>
    </w:p>
    <w:sectPr w:rsidR="00E43BF9" w:rsidRPr="00A62F3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0CCA1" w14:textId="77777777" w:rsidR="00112AB6" w:rsidRDefault="00112AB6" w:rsidP="00001C9B">
      <w:pPr>
        <w:spacing w:after="0" w:line="240" w:lineRule="auto"/>
      </w:pPr>
      <w:r>
        <w:separator/>
      </w:r>
    </w:p>
  </w:endnote>
  <w:endnote w:type="continuationSeparator" w:id="0">
    <w:p w14:paraId="2451B1B7" w14:textId="77777777" w:rsidR="00112AB6" w:rsidRDefault="00112AB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C52C8" w14:textId="77777777" w:rsidR="00112AB6" w:rsidRDefault="00112AB6" w:rsidP="00001C9B">
      <w:pPr>
        <w:spacing w:after="0" w:line="240" w:lineRule="auto"/>
      </w:pPr>
      <w:r>
        <w:separator/>
      </w:r>
    </w:p>
  </w:footnote>
  <w:footnote w:type="continuationSeparator" w:id="0">
    <w:p w14:paraId="5675FF15" w14:textId="77777777" w:rsidR="00112AB6" w:rsidRDefault="00112AB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02004"/>
    <w:multiLevelType w:val="hybridMultilevel"/>
    <w:tmpl w:val="B5C26506"/>
    <w:lvl w:ilvl="0" w:tplc="FFFFFFFF">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5185B14"/>
    <w:multiLevelType w:val="hybridMultilevel"/>
    <w:tmpl w:val="A0AA1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5"/>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39384013">
    <w:abstractNumId w:val="3"/>
  </w:num>
  <w:num w:numId="29" w16cid:durableId="2063629895">
    <w:abstractNumId w:val="15"/>
  </w:num>
  <w:num w:numId="30" w16cid:durableId="1535381690">
    <w:abstractNumId w:val="16"/>
  </w:num>
  <w:num w:numId="31" w16cid:durableId="1608929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12AB6"/>
    <w:rsid w:val="00001C9B"/>
    <w:rsid w:val="000040DC"/>
    <w:rsid w:val="00011784"/>
    <w:rsid w:val="000151EF"/>
    <w:rsid w:val="000239F5"/>
    <w:rsid w:val="00072CCA"/>
    <w:rsid w:val="0008612A"/>
    <w:rsid w:val="00090E18"/>
    <w:rsid w:val="000A10BC"/>
    <w:rsid w:val="000B0056"/>
    <w:rsid w:val="000C3C7B"/>
    <w:rsid w:val="000D0F93"/>
    <w:rsid w:val="00106416"/>
    <w:rsid w:val="00110481"/>
    <w:rsid w:val="001127C9"/>
    <w:rsid w:val="00112AB6"/>
    <w:rsid w:val="00114498"/>
    <w:rsid w:val="00115B88"/>
    <w:rsid w:val="00132F6A"/>
    <w:rsid w:val="00133913"/>
    <w:rsid w:val="00140221"/>
    <w:rsid w:val="001642FC"/>
    <w:rsid w:val="0016496B"/>
    <w:rsid w:val="00167386"/>
    <w:rsid w:val="001743E2"/>
    <w:rsid w:val="001745F8"/>
    <w:rsid w:val="001838CF"/>
    <w:rsid w:val="001868EE"/>
    <w:rsid w:val="001A3BA4"/>
    <w:rsid w:val="001A6D1F"/>
    <w:rsid w:val="001B1EA8"/>
    <w:rsid w:val="001E30F6"/>
    <w:rsid w:val="00217EE5"/>
    <w:rsid w:val="00235F5C"/>
    <w:rsid w:val="00257FA3"/>
    <w:rsid w:val="0026202E"/>
    <w:rsid w:val="00277B56"/>
    <w:rsid w:val="00282A74"/>
    <w:rsid w:val="00294D32"/>
    <w:rsid w:val="002A19F5"/>
    <w:rsid w:val="002B4922"/>
    <w:rsid w:val="002B69F3"/>
    <w:rsid w:val="002C22C3"/>
    <w:rsid w:val="002C2D19"/>
    <w:rsid w:val="002D10FA"/>
    <w:rsid w:val="002D4C55"/>
    <w:rsid w:val="002D6BEB"/>
    <w:rsid w:val="002D770D"/>
    <w:rsid w:val="002E6DED"/>
    <w:rsid w:val="002F567C"/>
    <w:rsid w:val="00300956"/>
    <w:rsid w:val="00317187"/>
    <w:rsid w:val="00321890"/>
    <w:rsid w:val="0032499A"/>
    <w:rsid w:val="003341F7"/>
    <w:rsid w:val="00347FEC"/>
    <w:rsid w:val="003509DF"/>
    <w:rsid w:val="00354F21"/>
    <w:rsid w:val="00356F45"/>
    <w:rsid w:val="00366B74"/>
    <w:rsid w:val="00381F95"/>
    <w:rsid w:val="003A710A"/>
    <w:rsid w:val="003B659E"/>
    <w:rsid w:val="003C275E"/>
    <w:rsid w:val="003C4FDE"/>
    <w:rsid w:val="003E58DF"/>
    <w:rsid w:val="00404C4C"/>
    <w:rsid w:val="0041423F"/>
    <w:rsid w:val="00414F81"/>
    <w:rsid w:val="00435F21"/>
    <w:rsid w:val="00436A0F"/>
    <w:rsid w:val="00437150"/>
    <w:rsid w:val="0043750A"/>
    <w:rsid w:val="00447577"/>
    <w:rsid w:val="004654EA"/>
    <w:rsid w:val="004732E9"/>
    <w:rsid w:val="004854BB"/>
    <w:rsid w:val="00494493"/>
    <w:rsid w:val="00496606"/>
    <w:rsid w:val="004E5E66"/>
    <w:rsid w:val="004E7ADB"/>
    <w:rsid w:val="00503B4D"/>
    <w:rsid w:val="00504EE9"/>
    <w:rsid w:val="005067B4"/>
    <w:rsid w:val="00521576"/>
    <w:rsid w:val="005250E6"/>
    <w:rsid w:val="00540380"/>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64950"/>
    <w:rsid w:val="00673535"/>
    <w:rsid w:val="00683220"/>
    <w:rsid w:val="00687FA0"/>
    <w:rsid w:val="006A3C11"/>
    <w:rsid w:val="006B7010"/>
    <w:rsid w:val="006C00AF"/>
    <w:rsid w:val="006C07F8"/>
    <w:rsid w:val="006C3095"/>
    <w:rsid w:val="006E1151"/>
    <w:rsid w:val="006E6311"/>
    <w:rsid w:val="007145FF"/>
    <w:rsid w:val="00715B2A"/>
    <w:rsid w:val="00733B21"/>
    <w:rsid w:val="007450F1"/>
    <w:rsid w:val="00751515"/>
    <w:rsid w:val="007626B7"/>
    <w:rsid w:val="0078212B"/>
    <w:rsid w:val="00784DF6"/>
    <w:rsid w:val="00785232"/>
    <w:rsid w:val="007B186C"/>
    <w:rsid w:val="007C1696"/>
    <w:rsid w:val="007C3ED0"/>
    <w:rsid w:val="007C5971"/>
    <w:rsid w:val="007E42DC"/>
    <w:rsid w:val="007F54B9"/>
    <w:rsid w:val="00806A76"/>
    <w:rsid w:val="00811C9D"/>
    <w:rsid w:val="00816C80"/>
    <w:rsid w:val="00837166"/>
    <w:rsid w:val="00841BCD"/>
    <w:rsid w:val="00847264"/>
    <w:rsid w:val="00851A8E"/>
    <w:rsid w:val="0085365B"/>
    <w:rsid w:val="008826C1"/>
    <w:rsid w:val="00883DFD"/>
    <w:rsid w:val="00890018"/>
    <w:rsid w:val="0089210C"/>
    <w:rsid w:val="00893752"/>
    <w:rsid w:val="00893D2E"/>
    <w:rsid w:val="008A1BF7"/>
    <w:rsid w:val="008A5B0E"/>
    <w:rsid w:val="008B0961"/>
    <w:rsid w:val="008C39F7"/>
    <w:rsid w:val="008D4E99"/>
    <w:rsid w:val="008F2744"/>
    <w:rsid w:val="008F5A74"/>
    <w:rsid w:val="0090091A"/>
    <w:rsid w:val="009042BD"/>
    <w:rsid w:val="00904FE4"/>
    <w:rsid w:val="00927740"/>
    <w:rsid w:val="00936159"/>
    <w:rsid w:val="00966DEA"/>
    <w:rsid w:val="00977E1D"/>
    <w:rsid w:val="009B0573"/>
    <w:rsid w:val="009B7B4B"/>
    <w:rsid w:val="009B7C21"/>
    <w:rsid w:val="009C34DA"/>
    <w:rsid w:val="009D4D03"/>
    <w:rsid w:val="009E4E6E"/>
    <w:rsid w:val="00A04992"/>
    <w:rsid w:val="00A147AA"/>
    <w:rsid w:val="00A21D71"/>
    <w:rsid w:val="00A22B78"/>
    <w:rsid w:val="00A25AE5"/>
    <w:rsid w:val="00A26442"/>
    <w:rsid w:val="00A37002"/>
    <w:rsid w:val="00A4355E"/>
    <w:rsid w:val="00A520D9"/>
    <w:rsid w:val="00A62F30"/>
    <w:rsid w:val="00A64DA0"/>
    <w:rsid w:val="00A92BCD"/>
    <w:rsid w:val="00AA1B0E"/>
    <w:rsid w:val="00AA47B6"/>
    <w:rsid w:val="00AB039F"/>
    <w:rsid w:val="00AC163B"/>
    <w:rsid w:val="00AC5CA7"/>
    <w:rsid w:val="00AC6058"/>
    <w:rsid w:val="00AE2BA5"/>
    <w:rsid w:val="00AE56B1"/>
    <w:rsid w:val="00AE6D09"/>
    <w:rsid w:val="00AF7A7C"/>
    <w:rsid w:val="00B02070"/>
    <w:rsid w:val="00B408B6"/>
    <w:rsid w:val="00B542DA"/>
    <w:rsid w:val="00B73862"/>
    <w:rsid w:val="00B73F43"/>
    <w:rsid w:val="00B75578"/>
    <w:rsid w:val="00B75BBF"/>
    <w:rsid w:val="00B81CDC"/>
    <w:rsid w:val="00BA308C"/>
    <w:rsid w:val="00BA6B66"/>
    <w:rsid w:val="00BA6E48"/>
    <w:rsid w:val="00BE0AF6"/>
    <w:rsid w:val="00BE1F03"/>
    <w:rsid w:val="00BE58A7"/>
    <w:rsid w:val="00BF2218"/>
    <w:rsid w:val="00C0426B"/>
    <w:rsid w:val="00C045DF"/>
    <w:rsid w:val="00C26D43"/>
    <w:rsid w:val="00C35173"/>
    <w:rsid w:val="00C35342"/>
    <w:rsid w:val="00C46548"/>
    <w:rsid w:val="00C574D5"/>
    <w:rsid w:val="00C73F32"/>
    <w:rsid w:val="00C84BA2"/>
    <w:rsid w:val="00C87462"/>
    <w:rsid w:val="00CA180C"/>
    <w:rsid w:val="00CB22B2"/>
    <w:rsid w:val="00CB3712"/>
    <w:rsid w:val="00CC3EE2"/>
    <w:rsid w:val="00CC473E"/>
    <w:rsid w:val="00CD7492"/>
    <w:rsid w:val="00CE3A6B"/>
    <w:rsid w:val="00D00211"/>
    <w:rsid w:val="00D006D1"/>
    <w:rsid w:val="00D01B83"/>
    <w:rsid w:val="00D025AE"/>
    <w:rsid w:val="00D06309"/>
    <w:rsid w:val="00D351EA"/>
    <w:rsid w:val="00D40288"/>
    <w:rsid w:val="00D43403"/>
    <w:rsid w:val="00D45F1C"/>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323E9"/>
    <w:rsid w:val="00E34018"/>
    <w:rsid w:val="00E437D2"/>
    <w:rsid w:val="00E43BF9"/>
    <w:rsid w:val="00E55751"/>
    <w:rsid w:val="00E57137"/>
    <w:rsid w:val="00E7398E"/>
    <w:rsid w:val="00EA2311"/>
    <w:rsid w:val="00EC7BC3"/>
    <w:rsid w:val="00ED7600"/>
    <w:rsid w:val="00EE4EFA"/>
    <w:rsid w:val="00EE5272"/>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10AF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53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73535"/>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customStyle="1" w:styleId="TOC5Char">
    <w:name w:val="TOC 5 Char"/>
    <w:aliases w:val="Proposal Char"/>
    <w:basedOn w:val="DefaultParagraphFont"/>
    <w:link w:val="TOC5"/>
    <w:qFormat/>
    <w:rsid w:val="00890018"/>
    <w:rPr>
      <w:rFonts w:ascii="Times New Roman" w:hAnsi="Times New Roman"/>
      <w:b/>
      <w:sz w:val="20"/>
    </w:rPr>
  </w:style>
  <w:style w:type="paragraph" w:styleId="Header">
    <w:name w:val="header"/>
    <w:basedOn w:val="Normal"/>
    <w:link w:val="HeaderChar"/>
    <w:uiPriority w:val="99"/>
    <w:unhideWhenUsed/>
    <w:rsid w:val="0026202E"/>
    <w:pPr>
      <w:tabs>
        <w:tab w:val="center" w:pos="4819"/>
        <w:tab w:val="right" w:pos="9638"/>
      </w:tabs>
      <w:spacing w:after="0" w:line="240" w:lineRule="auto"/>
    </w:pPr>
  </w:style>
  <w:style w:type="character" w:customStyle="1" w:styleId="HeaderChar">
    <w:name w:val="Header Char"/>
    <w:basedOn w:val="DefaultParagraphFont"/>
    <w:link w:val="Header"/>
    <w:uiPriority w:val="99"/>
    <w:rsid w:val="0026202E"/>
    <w:rPr>
      <w:rFonts w:ascii="Times New Roman" w:hAnsi="Times New Roman"/>
      <w:sz w:val="20"/>
    </w:rPr>
  </w:style>
  <w:style w:type="paragraph" w:styleId="Footer">
    <w:name w:val="footer"/>
    <w:basedOn w:val="Normal"/>
    <w:link w:val="FooterChar"/>
    <w:uiPriority w:val="99"/>
    <w:unhideWhenUsed/>
    <w:rsid w:val="0026202E"/>
    <w:pPr>
      <w:tabs>
        <w:tab w:val="center" w:pos="4819"/>
        <w:tab w:val="right" w:pos="9638"/>
      </w:tabs>
      <w:spacing w:after="0" w:line="240" w:lineRule="auto"/>
    </w:pPr>
  </w:style>
  <w:style w:type="character" w:customStyle="1" w:styleId="FooterChar">
    <w:name w:val="Footer Char"/>
    <w:basedOn w:val="DefaultParagraphFont"/>
    <w:link w:val="Footer"/>
    <w:uiPriority w:val="99"/>
    <w:rsid w:val="0026202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78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RBI5PAMIO524-1616901215-18578</_dlc_DocId>
    <HideFromDelve xmlns="71c5aaf6-e6ce-465b-b873-5148d2a4c105">false</HideFromDelve>
    <Comments xmlns="3f2ce089-3858-4176-9a21-a30f9204848e">OK</Comments>
    <_dlc_DocIdUrl xmlns="71c5aaf6-e6ce-465b-b873-5148d2a4c105">
      <Url>https://nokia.sharepoint.com/sites/gxp/_layouts/15/DocIdRedir.aspx?ID=RBI5PAMIO524-1616901215-18578</Url>
      <Description>RBI5PAMIO524-1616901215-18578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CA6F45C1-9559-4299-A809-A4F9BEA45463}"/>
</file>

<file path=customXml/itemProps3.xml><?xml version="1.0" encoding="utf-8"?>
<ds:datastoreItem xmlns:ds="http://schemas.openxmlformats.org/officeDocument/2006/customXml" ds:itemID="{4798D10B-3578-4EEA-89B4-A04ED0DA99F3}"/>
</file>

<file path=customXml/itemProps4.xml><?xml version="1.0" encoding="utf-8"?>
<ds:datastoreItem xmlns:ds="http://schemas.openxmlformats.org/officeDocument/2006/customXml" ds:itemID="{2B9C0275-7168-4D04-8C9B-58615CAFBCF5}"/>
</file>

<file path=customXml/itemProps5.xml><?xml version="1.0" encoding="utf-8"?>
<ds:datastoreItem xmlns:ds="http://schemas.openxmlformats.org/officeDocument/2006/customXml" ds:itemID="{C174D807-300C-4D2E-A54D-4F45799DD04C}"/>
</file>

<file path=customXml/itemProps6.xml><?xml version="1.0" encoding="utf-8"?>
<ds:datastoreItem xmlns:ds="http://schemas.openxmlformats.org/officeDocument/2006/customXml" ds:itemID="{5E080DDF-3669-453E-A0ED-AC0A877696F9}"/>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4706</Characters>
  <Application>Microsoft Office Word</Application>
  <DocSecurity>0</DocSecurity>
  <Lines>39</Lines>
  <Paragraphs>11</Paragraphs>
  <ScaleCrop>false</ScaleCrop>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2024-04-08T17:22:00Z</dcterms:created>
  <dcterms:modified xsi:type="dcterms:W3CDTF">2024-04-08T17:22:00Z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000a726b-9347-48d7-933f-85cc62d5cc02</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